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46</w:t>
      </w:r>
    </w:p>
    <w:p>
      <w:r>
        <w:t>Bundesgericht (BGE), 1994-10-04, IT</w:t>
      </w:r>
    </w:p>
    <w:p>
      <w:r>
        <w:rPr>
          <w:b/>
        </w:rPr>
        <w:t xml:space="preserve">Quelle: </w:t>
      </w:r>
      <w:r>
        <w:t>https://mcp.opencaselaw.ch/entscheid/bge_121 III 46</w:t>
      </w:r>
    </w:p>
    <w:p>
      <w:r>
        <w:t>FR: ATF 121 III 46</w:t>
      </w:r>
    </w:p>
    <w:p>
      <w:r>
        <w:t>IT: DTF 121 III 46</w:t>
      </w:r>
    </w:p>
    <w:p>
      <w:pPr>
        <w:pStyle w:val="Heading2"/>
      </w:pPr>
      <w:r>
        <w:t>Regeste</w:t>
      </w:r>
    </w:p>
    <w:p>
      <w:r>
        <w:t>Regeste Art. 79 Abs. 1 OG. Anforderungen an die Begründung eines Rekurses. Beruht der angefochtene Entscheid auf zwei selbständigen Begründungen, so kann der Rekurs nur dann geprüft werden, wenn er sich gegen beide richtet.</w:t>
      </w:r>
    </w:p>
    <w:p>
      <w:pPr>
        <w:pStyle w:val="Heading2"/>
      </w:pPr>
      <w:r>
        <w:t>Volltext</w:t>
      </w:r>
    </w:p>
    <w:p>
      <w:r>
        <w:t>Urteilskopf 121 III 46 13. Estratto della sentenza 6 gennaio 1995 della Camera delle esecuzioni e dei fallimenti nella causa P c. Y Assicurazioni &amp; litisconsorti (ricorso) Regeste Art. 79 Abs. 1 OG . Anforderungen an die Begründung eines Rekurses. Beruht der angefochtene Entscheid auf zwei selbständigen Begründungen, so kann der Rekurs nur dann geprüft werden, wenn er sich gegen beide richtet. Sachverhalt ab Seite 46 BGE 121 III 46 S. 46 Il 20 settembre 1993 la Y Assicurazioni ha chiesto, nell'ambito dell'esecuzione in via di realizzazione del pegno immobiliare promossa contro P, la vendita della particella n. xxx RFD di Tenero-Contra di proprietà dell'escusso. Il 14 marzo 1994 l'Ufficio di esecuzione e fallimenti di Locarno ha spedito, quale invio raccomandato, a P la BGE 121 III 46 S. 47 comunicazione dell'elenco oneri. Il predetto invio postale è stato preso in consegna il giorno seguente al domicilio dell'escusso dalla figlia adulta L. Il 19 marzo 1994 l'avv. A ha contestato, in nome proprio e quale rappresentante di P, l'elenco oneri notificatogli il 15 marzo 1994. Con sentenza del 4 ottobre 1994 la Camera delle esecuzioni e dei fallimenti del Tribunale di appello del Cantone Ticino ha respinto, in quanto ricevibile, un reclamo con cui P faceva, fra l'altro, valere che l'elenco oneri non gli era stato notificato personalmente. Il 24 ottobre 1994 P ha inoltrato al Tribunale federale un ricorso, con cui postula che gli venga assegnato un nuovo termine per contestare l'elenco oneri. Le controparti, nella misura in cui hanno presentato una risposta, propongono la reiezione del gravame. Erwägungen Dai considerandi: 2. Giusta l'art. 79 cpv. 1 prima frase OG l'atto di ricorso deve indicare le modificazioni della decisione impugnata che sono proposte ed esporre in modo coinciso le norme di diritto federale violate dalla decisione e in che consiste la violazione. Questa norma riprende quindi l'esigenze di motivazione previste dall'art. 55 cpv. 1 lett. c seconda frase OG per il ricorso per riforma (POUDRET/SANDOZ-MONOD, Commentaire de la loi fédérale d'organisation judiciaire, vol. II, n. 1.2.2 ad art. 79 OG ; BIRCHMEIER, Handbuch des Bundesgesetzes über die Organisation der Bundesrechtspflege, n. 3 e 4 ad art. 79 OG ), motivo per cui può essere applicata la giurisprudenza sviluppata nell'ambito di tale rimedio. Nella giurisdizione per riforma il Tribunale federale entra nel merito del gravame, qualora la decisione impugnata contenga due motivazioni indipendenti, unicamente se il ricorrente censura entrambe le argomentazioni dell'autorità cantonale ( DTF 116 II 730 consid. a, DTF 115 II 302 consid. 2 e DTF 115 II 72 consid. 3 con rinvii). L'autorità di vigilanza cantonale ha dichiarato tardivo il reclamo del 13 aprile 1994 diretto contro l'elenco oneri, poiché quest'ultimo stato notificato il 15 marzo 1994 alla figlia dell'escusso che vive nella medesima abitazione. A titolo abbondanziale i giudici cantonali hanno ritenuto che la contestazione del predetto elenco oneri effettuata il 19 marzo 1994 dall'avv. A - a nome proprio e quale rappresentante del ricorrente - costituisce un sicuro indizio per il fatto che l'escusso lo ha effettivamente ricevuto il 15 marzo 1994, non potendo egli altrimenti incaricare un legale. Nella sede federale il ricorrente si limita a censurare la motivazione principale della decisione impugnata, affermando BGE 121 III 46 S. 48 che la figlia maggiorenne a cui è stato consegnato l'invio raccomandato contenente l'elenco oneri non può essere considerata un membro della sua famiglia ai sensi dell' art. 64 cpv. 1 LEF , poiché la stessa non vive con lui, senza tuttavia spendere una parola sulla motivazione abbondanziale dell'autorità cantonale. In queste circostanze il ricorso si rivela inammissibile.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